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59" w:rsidRDefault="008A4342">
      <w:pPr>
        <w:pStyle w:val="Balk3"/>
        <w:keepNext w:val="0"/>
        <w:keepLines w:val="0"/>
        <w:spacing w:before="28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BASIN MENSUBU</w:t>
      </w:r>
      <w:r w:rsidR="00C63700">
        <w:rPr>
          <w:b/>
          <w:color w:val="000000"/>
          <w:sz w:val="22"/>
          <w:szCs w:val="22"/>
        </w:rPr>
        <w:t xml:space="preserve"> AYDINLATMA METNİ</w:t>
      </w:r>
    </w:p>
    <w:p w:rsidR="00174D59" w:rsidRDefault="00C63700">
      <w:pPr>
        <w:spacing w:before="240" w:after="240" w:line="360" w:lineRule="auto"/>
        <w:jc w:val="both"/>
      </w:pPr>
      <w:proofErr w:type="gramStart"/>
      <w:r>
        <w:t xml:space="preserve">Kişisel verilerin işlenmesinde başta özel hayatın gizliliği olmak üzere kişilerin temel hak ve özgürlüklerinin korunmasını amaçlayan, 7 Nisan 2016 tarih ve 29677 Sayılı Resmî </w:t>
      </w:r>
      <w:proofErr w:type="spellStart"/>
      <w:r>
        <w:t>Gazete’de</w:t>
      </w:r>
      <w:proofErr w:type="spellEnd"/>
      <w:r>
        <w:t xml:space="preserve"> yayımlanan 6698 sayılı Kişisel Verilerin Korunması Kanunu (“Kanun”)’</w:t>
      </w:r>
      <w:proofErr w:type="spellStart"/>
      <w:r>
        <w:t>nun</w:t>
      </w:r>
      <w:proofErr w:type="spellEnd"/>
      <w:r>
        <w:t xml:space="preserve"> “Veri Sorumlusunun Aydınlatma Yükümlülüğü” başlıklı 10 uncu maddesi ile 10 Mart 2018 tarih ve 30356 sayılı Resmi </w:t>
      </w:r>
      <w:proofErr w:type="spellStart"/>
      <w:r>
        <w:t>Gazete’de</w:t>
      </w:r>
      <w:proofErr w:type="spellEnd"/>
      <w:r>
        <w:t xml:space="preserve"> yayımlanan Aydınlatma Yükümlülüğünün Yerine </w:t>
      </w:r>
      <w:proofErr w:type="gramEnd"/>
      <w:r>
        <w:t>Getirilmesinde Uyulacak Usul ve Esaslar Hakkında Tebliğ uyarınca işbu Aydınlatma Metni i</w:t>
      </w:r>
      <w:r>
        <w:t>le TÜRKİYE VOLEYBOL FEDERASYONU-TVF tarafından işlenen ve aşağıda yer verilen kişisel verileriniz hakkında Veri Sorumlusu olarak sizleri bilgilendirmeyi hedeflemekteyiz.</w:t>
      </w:r>
    </w:p>
    <w:p w:rsidR="00174D59" w:rsidRDefault="00C63700">
      <w:pPr>
        <w:spacing w:before="240" w:after="240" w:line="360" w:lineRule="auto"/>
        <w:jc w:val="both"/>
      </w:pPr>
      <w:r>
        <w:t>TVF, kişisel verilerinizin hukuka aykırı olarak işlenmesini, erişilmesini önleme ve mu</w:t>
      </w:r>
      <w:r>
        <w:t>hafazasını sağlama amacıyla, uygun güvenlik düzeyini temin etmeye yönelik tüm teknik ve idari tedbirleri almaktadır.</w:t>
      </w:r>
    </w:p>
    <w:p w:rsidR="00174D59" w:rsidRDefault="00C63700">
      <w:pPr>
        <w:pStyle w:val="Balk3"/>
        <w:keepNext w:val="0"/>
        <w:keepLines w:val="0"/>
        <w:spacing w:before="280" w:line="360" w:lineRule="auto"/>
        <w:jc w:val="both"/>
        <w:rPr>
          <w:b/>
          <w:color w:val="000000"/>
          <w:sz w:val="22"/>
          <w:szCs w:val="22"/>
        </w:rPr>
      </w:pPr>
      <w:bookmarkStart w:id="0" w:name="_gt3t7u9637uh" w:colFirst="0" w:colLast="0"/>
      <w:bookmarkEnd w:id="0"/>
      <w:r>
        <w:rPr>
          <w:b/>
          <w:color w:val="000000"/>
          <w:sz w:val="22"/>
          <w:szCs w:val="22"/>
        </w:rPr>
        <w:t>1. İŞLENEN KİŞİLER VERİLER</w:t>
      </w:r>
    </w:p>
    <w:p w:rsidR="00174D59" w:rsidRDefault="00C63700">
      <w:pPr>
        <w:spacing w:before="240" w:after="240" w:line="360" w:lineRule="auto"/>
        <w:jc w:val="both"/>
      </w:pPr>
      <w:r>
        <w:t>Kişisel veri, kimliği belirli veya belirlenebilir kişiye ilişkin her türlü bilgiyi ifade etmektedir. İşlenen kiş</w:t>
      </w:r>
      <w:r>
        <w:t>isel verileriniz ile verilere ait kategoriler aşağıda belirtilmiştir.</w:t>
      </w:r>
    </w:p>
    <w:p w:rsidR="00174D59" w:rsidRDefault="00C63700">
      <w:pPr>
        <w:numPr>
          <w:ilvl w:val="0"/>
          <w:numId w:val="3"/>
        </w:numPr>
        <w:spacing w:before="240" w:line="360" w:lineRule="auto"/>
        <w:jc w:val="both"/>
      </w:pPr>
      <w:r>
        <w:rPr>
          <w:u w:val="single"/>
        </w:rPr>
        <w:t>Kimlik:</w:t>
      </w:r>
      <w:r>
        <w:t xml:space="preserve"> Ad </w:t>
      </w:r>
      <w:r w:rsidR="008A4342">
        <w:t>Soyadı</w:t>
      </w:r>
      <w:r>
        <w:t>, Fotoğraf</w:t>
      </w:r>
      <w:r w:rsidR="008A4342">
        <w:t>, Uyruk</w:t>
      </w:r>
    </w:p>
    <w:p w:rsidR="008A4342" w:rsidRDefault="00C63700" w:rsidP="008A4342">
      <w:pPr>
        <w:numPr>
          <w:ilvl w:val="0"/>
          <w:numId w:val="3"/>
        </w:numPr>
        <w:spacing w:after="240" w:line="360" w:lineRule="auto"/>
        <w:jc w:val="both"/>
      </w:pPr>
      <w:r>
        <w:rPr>
          <w:u w:val="single"/>
        </w:rPr>
        <w:t>Özlük:</w:t>
      </w:r>
      <w:r>
        <w:t xml:space="preserve"> Çalıştığınız kurum, Unvan</w:t>
      </w:r>
    </w:p>
    <w:p w:rsidR="00174D59" w:rsidRDefault="00C63700">
      <w:pPr>
        <w:spacing w:before="240" w:after="240" w:line="360" w:lineRule="auto"/>
        <w:jc w:val="both"/>
        <w:rPr>
          <w:b/>
          <w:color w:val="000000"/>
        </w:rPr>
      </w:pPr>
      <w:r>
        <w:t xml:space="preserve"> </w:t>
      </w:r>
      <w:r>
        <w:rPr>
          <w:b/>
          <w:color w:val="000000"/>
        </w:rPr>
        <w:t>2. KİŞİSEL VERİLERİN İŞLENME AMAÇLARI</w:t>
      </w:r>
    </w:p>
    <w:p w:rsidR="00174D59" w:rsidRDefault="00C63700">
      <w:pPr>
        <w:spacing w:before="240" w:after="240" w:line="360" w:lineRule="auto"/>
        <w:jc w:val="both"/>
      </w:pPr>
      <w:r>
        <w:t xml:space="preserve">Kişisel verileriniz; Kanun’un 5 inci ve 6 </w:t>
      </w:r>
      <w:proofErr w:type="spellStart"/>
      <w:r>
        <w:t>ncı</w:t>
      </w:r>
      <w:proofErr w:type="spellEnd"/>
      <w:r>
        <w:t xml:space="preserve"> maddelerinde belirtilen işleme şartları i</w:t>
      </w:r>
      <w:r>
        <w:t>le ikincil düzenlemelere uygun olarak aşağıdaki amaçlar ile işlenebilecektir:</w:t>
      </w:r>
    </w:p>
    <w:p w:rsidR="00174D59" w:rsidRDefault="00C63700">
      <w:pPr>
        <w:numPr>
          <w:ilvl w:val="0"/>
          <w:numId w:val="2"/>
        </w:numPr>
        <w:spacing w:before="240" w:line="360" w:lineRule="auto"/>
        <w:jc w:val="both"/>
      </w:pPr>
      <w:r>
        <w:t>Etkinlik ve organizasyon süreçlerinin yönetimi</w:t>
      </w:r>
    </w:p>
    <w:p w:rsidR="00174D59" w:rsidRDefault="00C63700">
      <w:pPr>
        <w:numPr>
          <w:ilvl w:val="0"/>
          <w:numId w:val="2"/>
        </w:numPr>
        <w:spacing w:line="360" w:lineRule="auto"/>
        <w:jc w:val="both"/>
      </w:pPr>
      <w:r>
        <w:t>İletişim faaliyetlerinin yürütülmesi</w:t>
      </w:r>
    </w:p>
    <w:p w:rsidR="00174D59" w:rsidRDefault="00C63700">
      <w:pPr>
        <w:numPr>
          <w:ilvl w:val="0"/>
          <w:numId w:val="2"/>
        </w:numPr>
        <w:spacing w:line="360" w:lineRule="auto"/>
        <w:jc w:val="both"/>
      </w:pPr>
      <w:r>
        <w:t>TVF bünyesinde gerçekleştirilen her türlü etkinlik ve organizasyondan basın mensuplarının habe</w:t>
      </w:r>
      <w:r>
        <w:t>rdar edilebilmesi ve yetkisiz erişimlerin önlenmesi</w:t>
      </w:r>
    </w:p>
    <w:p w:rsidR="00174D59" w:rsidRDefault="00C63700">
      <w:pPr>
        <w:numPr>
          <w:ilvl w:val="0"/>
          <w:numId w:val="2"/>
        </w:numPr>
        <w:spacing w:line="360" w:lineRule="auto"/>
        <w:jc w:val="both"/>
      </w:pPr>
      <w:r>
        <w:lastRenderedPageBreak/>
        <w:t>Kötü niyetli hareketleri ( sahtecilik, dolandırıcılık (</w:t>
      </w:r>
      <w:proofErr w:type="spellStart"/>
      <w:r>
        <w:t>fraud</w:t>
      </w:r>
      <w:proofErr w:type="spellEnd"/>
      <w:r>
        <w:t>) eylemleri) tespit edebilme ve önleme faaliyetlerinin yürütülmesi</w:t>
      </w:r>
    </w:p>
    <w:p w:rsidR="00174D59" w:rsidRDefault="00C63700">
      <w:pPr>
        <w:numPr>
          <w:ilvl w:val="0"/>
          <w:numId w:val="2"/>
        </w:numPr>
        <w:spacing w:after="240" w:line="360" w:lineRule="auto"/>
        <w:jc w:val="both"/>
      </w:pPr>
      <w:r>
        <w:t>Bilgi güvenliği süreçlerinin yürütülmesi</w:t>
      </w:r>
    </w:p>
    <w:p w:rsidR="00174D59" w:rsidRDefault="00C63700">
      <w:pPr>
        <w:spacing w:before="240" w:after="240" w:line="360" w:lineRule="auto"/>
        <w:jc w:val="both"/>
        <w:rPr>
          <w:b/>
          <w:color w:val="000000"/>
        </w:rPr>
      </w:pPr>
      <w:r>
        <w:rPr>
          <w:b/>
        </w:rPr>
        <w:t xml:space="preserve"> </w:t>
      </w:r>
      <w:r>
        <w:rPr>
          <w:b/>
          <w:color w:val="000000"/>
        </w:rPr>
        <w:t>3. KİŞİSEL VERİLERİN AKTARILMASI</w:t>
      </w:r>
    </w:p>
    <w:p w:rsidR="00174D59" w:rsidRDefault="00C63700">
      <w:pPr>
        <w:spacing w:before="240" w:after="240" w:line="360" w:lineRule="auto"/>
        <w:jc w:val="both"/>
      </w:pPr>
      <w:r>
        <w:t>Ki</w:t>
      </w:r>
      <w:r>
        <w:t>şisel verileriniz, Kanunlar ve sair mevzuat kapsamında ve açıklanan amaçlarla Kanun’un kişisel verilerin yurt içi ve yurtdışına aktarılmasına ilişkin hükümleri kapsamında aşağıdaki 3. taraflara aktarılabilecektir:</w:t>
      </w:r>
    </w:p>
    <w:p w:rsidR="00174D59" w:rsidRDefault="00C63700">
      <w:pPr>
        <w:numPr>
          <w:ilvl w:val="0"/>
          <w:numId w:val="1"/>
        </w:numPr>
        <w:spacing w:before="240" w:line="360" w:lineRule="auto"/>
        <w:jc w:val="both"/>
      </w:pPr>
      <w:proofErr w:type="spellStart"/>
      <w:r>
        <w:t>TVF’ye</w:t>
      </w:r>
      <w:proofErr w:type="spellEnd"/>
      <w:r>
        <w:t xml:space="preserve"> sunucu ve veri depolama hizmeti sağlayan anlaşmalı şirketlerle,</w:t>
      </w:r>
    </w:p>
    <w:p w:rsidR="00174D59" w:rsidRDefault="00C63700">
      <w:pPr>
        <w:numPr>
          <w:ilvl w:val="0"/>
          <w:numId w:val="1"/>
        </w:numPr>
        <w:spacing w:line="360" w:lineRule="auto"/>
        <w:jc w:val="both"/>
      </w:pPr>
      <w:r>
        <w:t xml:space="preserve">TVF, bilgi işlem ve teknik işler </w:t>
      </w:r>
      <w:proofErr w:type="gramStart"/>
      <w:r>
        <w:t>departmanları</w:t>
      </w:r>
      <w:proofErr w:type="gramEnd"/>
      <w:r>
        <w:t xml:space="preserve"> bünyesinde bulunan </w:t>
      </w:r>
      <w:proofErr w:type="spellStart"/>
      <w:r>
        <w:t>portallara</w:t>
      </w:r>
      <w:proofErr w:type="spellEnd"/>
      <w:r>
        <w:t xml:space="preserve"> kaydedilmek suretiyle,</w:t>
      </w:r>
    </w:p>
    <w:p w:rsidR="00174D59" w:rsidRDefault="00C63700">
      <w:pPr>
        <w:numPr>
          <w:ilvl w:val="0"/>
          <w:numId w:val="1"/>
        </w:numPr>
        <w:spacing w:after="240" w:line="360" w:lineRule="auto"/>
        <w:jc w:val="both"/>
      </w:pPr>
      <w:r>
        <w:t>Danışmanlık aldığımız gerçek ve tüzel kişi kimselerle paylaşılabilecektir.</w:t>
      </w:r>
    </w:p>
    <w:p w:rsidR="00174D59" w:rsidRDefault="00C63700">
      <w:pPr>
        <w:pStyle w:val="Balk3"/>
        <w:keepNext w:val="0"/>
        <w:keepLines w:val="0"/>
        <w:spacing w:before="280" w:line="360" w:lineRule="auto"/>
        <w:jc w:val="both"/>
        <w:rPr>
          <w:b/>
          <w:color w:val="000000"/>
          <w:sz w:val="22"/>
          <w:szCs w:val="22"/>
        </w:rPr>
      </w:pPr>
      <w:bookmarkStart w:id="1" w:name="_lg76hqtqkseg" w:colFirst="0" w:colLast="0"/>
      <w:bookmarkEnd w:id="1"/>
      <w:r>
        <w:rPr>
          <w:b/>
          <w:color w:val="000000"/>
          <w:sz w:val="22"/>
          <w:szCs w:val="22"/>
        </w:rPr>
        <w:t>4. KİŞİSEL</w:t>
      </w:r>
      <w:r>
        <w:rPr>
          <w:b/>
          <w:color w:val="000000"/>
          <w:sz w:val="22"/>
          <w:szCs w:val="22"/>
        </w:rPr>
        <w:t xml:space="preserve"> VERİLERİN TOPLANMA YÖNTEMLERİ VE HUKUKİ SEBEPLERİ</w:t>
      </w:r>
    </w:p>
    <w:p w:rsidR="00174D59" w:rsidRDefault="00C63700">
      <w:pPr>
        <w:spacing w:before="240" w:after="240" w:line="360" w:lineRule="auto"/>
        <w:jc w:val="both"/>
      </w:pPr>
      <w:r>
        <w:t>Kişisel verileriniz; ilgili kişiler ile hukuki ilişkimizin kurulması esnasında ve söz konusu ilişkinin devamı süresince Kurumsal İletişim ve Pazarlama Departmanımız aracılığıyla otomatik ve otomatik olmaya</w:t>
      </w:r>
      <w:r>
        <w:t>n yöntemler ile temin edilerek işlenebilmektedir.</w:t>
      </w:r>
    </w:p>
    <w:p w:rsidR="00174D59" w:rsidRDefault="00C63700">
      <w:pPr>
        <w:numPr>
          <w:ilvl w:val="0"/>
          <w:numId w:val="4"/>
        </w:numPr>
        <w:spacing w:before="240" w:line="360" w:lineRule="auto"/>
        <w:jc w:val="both"/>
      </w:pPr>
      <w:r>
        <w:t>Açık rızanın bulunması</w:t>
      </w:r>
    </w:p>
    <w:p w:rsidR="00174D59" w:rsidRDefault="00C63700">
      <w:pPr>
        <w:numPr>
          <w:ilvl w:val="0"/>
          <w:numId w:val="4"/>
        </w:numPr>
        <w:spacing w:line="360" w:lineRule="auto"/>
        <w:jc w:val="both"/>
      </w:pPr>
      <w:r>
        <w:t>Kanunlarda açıkça öngörülmesi,</w:t>
      </w:r>
    </w:p>
    <w:p w:rsidR="00174D59" w:rsidRDefault="00C63700">
      <w:pPr>
        <w:numPr>
          <w:ilvl w:val="0"/>
          <w:numId w:val="4"/>
        </w:numPr>
        <w:spacing w:line="360" w:lineRule="auto"/>
        <w:jc w:val="both"/>
      </w:pPr>
      <w:r>
        <w:t>Mevzuat ve resmi otoritelerce öngörülen bilgi saklama, raporlama, bilgilendirme yükümlülüklerine uymak,</w:t>
      </w:r>
    </w:p>
    <w:p w:rsidR="00174D59" w:rsidRDefault="00C63700">
      <w:pPr>
        <w:numPr>
          <w:ilvl w:val="0"/>
          <w:numId w:val="4"/>
        </w:numPr>
        <w:spacing w:line="360" w:lineRule="auto"/>
        <w:jc w:val="both"/>
      </w:pPr>
      <w:r>
        <w:t>Hukuki yükümlülüğün yerine getirebilmesi için zo</w:t>
      </w:r>
      <w:r>
        <w:t>runlu olması,</w:t>
      </w:r>
    </w:p>
    <w:p w:rsidR="00174D59" w:rsidRDefault="00C63700">
      <w:pPr>
        <w:numPr>
          <w:ilvl w:val="0"/>
          <w:numId w:val="4"/>
        </w:numPr>
        <w:spacing w:line="360" w:lineRule="auto"/>
        <w:jc w:val="both"/>
      </w:pPr>
      <w:r>
        <w:t>Bir hakkın tesisi, kullanılması veya korunması için veri işlemenin zorunlu olması,</w:t>
      </w:r>
    </w:p>
    <w:p w:rsidR="008A4342" w:rsidRDefault="00C63700" w:rsidP="008B4233">
      <w:pPr>
        <w:numPr>
          <w:ilvl w:val="0"/>
          <w:numId w:val="4"/>
        </w:numPr>
        <w:spacing w:after="240" w:line="360" w:lineRule="auto"/>
        <w:jc w:val="both"/>
      </w:pPr>
      <w:r>
        <w:t>Veri sorumlusunun meşru menfaati.</w:t>
      </w:r>
      <w:bookmarkStart w:id="2" w:name="_GoBack"/>
      <w:bookmarkEnd w:id="2"/>
    </w:p>
    <w:p w:rsidR="00174D59" w:rsidRDefault="00C63700" w:rsidP="008A4342">
      <w:pPr>
        <w:spacing w:before="240" w:after="240" w:line="360" w:lineRule="auto"/>
        <w:jc w:val="both"/>
        <w:rPr>
          <w:b/>
          <w:color w:val="000000"/>
        </w:rPr>
      </w:pPr>
      <w:r>
        <w:t xml:space="preserve"> </w:t>
      </w:r>
      <w:bookmarkStart w:id="3" w:name="_ald4wgb55xdt" w:colFirst="0" w:colLast="0"/>
      <w:bookmarkEnd w:id="3"/>
      <w:r>
        <w:rPr>
          <w:b/>
          <w:color w:val="000000"/>
        </w:rPr>
        <w:t>5. HAK VE TALEPLERİNİZ İÇİN BİZİMLE İLETİŞİME GEÇMEK İSTERSENİZ</w:t>
      </w:r>
    </w:p>
    <w:p w:rsidR="00174D59" w:rsidRDefault="00C63700">
      <w:pPr>
        <w:spacing w:after="160" w:line="360" w:lineRule="auto"/>
        <w:jc w:val="both"/>
      </w:pPr>
      <w:proofErr w:type="gramStart"/>
      <w:r>
        <w:t>TVF, KVK Kanunu’nun 10. maddesine uygun olarak kişisel veri sahibinin haklarını kendisine bildirmekte, bu hakların nasıl kullanılacağı konusunda kişisel veri sahibine yol göstermektedir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t>TVF, kişisel veri sahiplerinin haklarının değerlendirilmesi ve kişisel</w:t>
      </w:r>
      <w:r>
        <w:t xml:space="preserve"> veri sahiplerine gereken bilgilendirmenin yapılması için KVK Kanunu’nun 13. maddesine uygun olarak gerekli kanalları, iç işleyişi, idari ve teknik düzenlemeleri yürütmektedir.</w:t>
      </w:r>
      <w:proofErr w:type="gramEnd"/>
    </w:p>
    <w:p w:rsidR="00174D59" w:rsidRDefault="00C63700">
      <w:pPr>
        <w:spacing w:after="160" w:line="360" w:lineRule="auto"/>
        <w:jc w:val="both"/>
      </w:pPr>
      <w:r>
        <w:t>Kişisel Verileri Koruma Kanunu’nun ilgili kişinin haklarını düzenleyen 11. madd</w:t>
      </w:r>
      <w:r>
        <w:t xml:space="preserve">esi kapsamındaki taleplerinizi, “Veri Sorumlusuna Başvuru Usul ve Esasları Hakkında Tebliğe” </w:t>
      </w:r>
      <w:r>
        <w:lastRenderedPageBreak/>
        <w:t xml:space="preserve">göre </w:t>
      </w:r>
      <w:proofErr w:type="spellStart"/>
      <w:r>
        <w:rPr>
          <w:b/>
        </w:rPr>
        <w:t>TVF’nin</w:t>
      </w:r>
      <w:proofErr w:type="spellEnd"/>
      <w:r>
        <w:rPr>
          <w:b/>
        </w:rPr>
        <w:t xml:space="preserve"> Emniyet Mah. Milas Sok. No:9/A 06560 Yenimahalle/Ankara</w:t>
      </w:r>
      <w:r>
        <w:t xml:space="preserve"> adresine yazılı olarak iletebilirsiniz.</w:t>
      </w:r>
    </w:p>
    <w:p w:rsidR="00174D59" w:rsidRDefault="00C63700">
      <w:pPr>
        <w:spacing w:after="160" w:line="360" w:lineRule="auto"/>
        <w:jc w:val="both"/>
      </w:pPr>
      <w:r>
        <w:t>Kanun kapsamında uygun görülen süre 30 takvim günü içe</w:t>
      </w:r>
      <w:r>
        <w:t xml:space="preserve">risinde başvurunuza cevap verilmemesi durumunda veya başvurunuzun reddedilmesi, başvurunuza verilen cevabı yetersiz bulmanız durumlarında ilgili kişi olarak, </w:t>
      </w:r>
      <w:proofErr w:type="spellStart"/>
      <w:r>
        <w:t>TVF</w:t>
      </w:r>
      <w:r>
        <w:t>’nin</w:t>
      </w:r>
      <w:proofErr w:type="spellEnd"/>
      <w:r>
        <w:t xml:space="preserve"> cevabını öğrendiğiniz tarihten itibaren 30 gün ve her halükârda başvuru tarihini takiben </w:t>
      </w:r>
      <w:r>
        <w:t>60 takvim günü içerisinde Kişisel Verilerin Korunması Kurulu’na şikâyette bulunabilirsiniz.</w:t>
      </w:r>
    </w:p>
    <w:p w:rsidR="00174D59" w:rsidRDefault="00C63700">
      <w:pPr>
        <w:spacing w:after="160" w:line="360" w:lineRule="auto"/>
        <w:jc w:val="both"/>
      </w:pPr>
      <w:r>
        <w:t>Kişisel veri sahipleri adına üçüncü kişilerin başvuru talebinde bulunabilmesi için veri sahibi tarafından başvuruda bulunacak kişi adına, noter kanalıyla düzenlenmi</w:t>
      </w:r>
      <w:r>
        <w:t>ş özel vekâletname bulunmalıdır.</w:t>
      </w:r>
    </w:p>
    <w:p w:rsidR="00174D59" w:rsidRDefault="00C63700">
      <w:pPr>
        <w:spacing w:after="160" w:line="360" w:lineRule="auto"/>
        <w:jc w:val="both"/>
      </w:pPr>
      <w:r>
        <w:t xml:space="preserve">Ayrıca </w:t>
      </w:r>
      <w:r>
        <w:rPr>
          <w:b/>
          <w:u w:val="single"/>
        </w:rPr>
        <w:t>https://www.tvf.org.tr/</w:t>
      </w:r>
      <w:r>
        <w:t xml:space="preserve"> </w:t>
      </w:r>
      <w:r w:rsidR="008A4342">
        <w:t>adresinden</w:t>
      </w:r>
      <w:r>
        <w:t xml:space="preserve"> </w:t>
      </w:r>
      <w:r>
        <w:rPr>
          <w:b/>
        </w:rPr>
        <w:t xml:space="preserve">İLGİLİ KİŞİ BAŞVURU </w:t>
      </w:r>
      <w:proofErr w:type="spellStart"/>
      <w:r>
        <w:rPr>
          <w:b/>
        </w:rPr>
        <w:t>FORMU</w:t>
      </w:r>
      <w:r>
        <w:t>’nu</w:t>
      </w:r>
      <w:proofErr w:type="spellEnd"/>
      <w:r>
        <w:t xml:space="preserve"> doldurup formda belirtilen direktiflere uyarak bize ulaşabilirsiniz.</w:t>
      </w:r>
    </w:p>
    <w:p w:rsidR="00174D59" w:rsidRDefault="00174D59">
      <w:pPr>
        <w:jc w:val="both"/>
      </w:pPr>
    </w:p>
    <w:p w:rsidR="00174D59" w:rsidRDefault="00174D59">
      <w:pPr>
        <w:jc w:val="both"/>
      </w:pPr>
    </w:p>
    <w:p w:rsidR="00174D59" w:rsidRDefault="00174D59">
      <w:pPr>
        <w:spacing w:line="360" w:lineRule="auto"/>
        <w:jc w:val="both"/>
      </w:pPr>
    </w:p>
    <w:sectPr w:rsidR="00174D59" w:rsidSect="008A4342">
      <w:headerReference w:type="default" r:id="rId9"/>
      <w:footerReference w:type="default" r:id="rId10"/>
      <w:head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00" w:rsidRDefault="00C63700">
      <w:pPr>
        <w:spacing w:line="240" w:lineRule="auto"/>
      </w:pPr>
      <w:r>
        <w:separator/>
      </w:r>
    </w:p>
  </w:endnote>
  <w:endnote w:type="continuationSeparator" w:id="0">
    <w:p w:rsidR="00C63700" w:rsidRDefault="00C63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59" w:rsidRDefault="00C63700">
    <w:pPr>
      <w:jc w:val="center"/>
    </w:pPr>
    <w:r>
      <w:fldChar w:fldCharType="begin"/>
    </w:r>
    <w:r>
      <w:instrText>PAGE</w:instrText>
    </w:r>
    <w:r w:rsidR="008A4342">
      <w:fldChar w:fldCharType="separate"/>
    </w:r>
    <w:r w:rsidR="008B423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00" w:rsidRDefault="00C63700">
      <w:pPr>
        <w:spacing w:line="240" w:lineRule="auto"/>
      </w:pPr>
      <w:r>
        <w:separator/>
      </w:r>
    </w:p>
  </w:footnote>
  <w:footnote w:type="continuationSeparator" w:id="0">
    <w:p w:rsidR="00C63700" w:rsidRDefault="00C63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59" w:rsidRDefault="00174D59">
    <w:pPr>
      <w:spacing w:after="160" w:line="259" w:lineRule="auto"/>
    </w:pPr>
  </w:p>
  <w:p w:rsidR="00174D59" w:rsidRDefault="00174D59">
    <w:pPr>
      <w:spacing w:after="160" w:line="259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9029" w:type="dxa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250"/>
      <w:gridCol w:w="2700"/>
      <w:gridCol w:w="1830"/>
      <w:gridCol w:w="2249"/>
    </w:tblGrid>
    <w:tr w:rsidR="008A4342" w:rsidTr="00116DC2">
      <w:trPr>
        <w:trHeight w:val="507"/>
      </w:trPr>
      <w:tc>
        <w:tcPr>
          <w:tcW w:w="2249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spacing w:after="160" w:line="259" w:lineRule="auto"/>
            <w:ind w:right="40"/>
          </w:pPr>
          <w:r>
            <w:rPr>
              <w:noProof/>
              <w:lang w:val="en-US"/>
            </w:rPr>
            <w:drawing>
              <wp:inline distT="114300" distB="114300" distL="114300" distR="114300" wp14:anchorId="391ED5E0" wp14:editId="6EFFB7C2">
                <wp:extent cx="1304925" cy="66675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25308" t="30585" r="25360" b="327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  <w:rPr>
              <w:b/>
            </w:rPr>
          </w:pPr>
          <w:r>
            <w:rPr>
              <w:b/>
            </w:rPr>
            <w:t>BASIN MENSUBU AYDINLATMA METNİ</w:t>
          </w: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  <w:r>
            <w:t>Doküman No:</w:t>
          </w:r>
        </w:p>
      </w:tc>
      <w:tc>
        <w:tcPr>
          <w:tcW w:w="224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  <w:r>
            <w:t>KİP-KVKK-Form-1</w:t>
          </w:r>
        </w:p>
      </w:tc>
    </w:tr>
    <w:tr w:rsidR="008A4342" w:rsidTr="00116DC2">
      <w:trPr>
        <w:trHeight w:val="522"/>
      </w:trPr>
      <w:tc>
        <w:tcPr>
          <w:tcW w:w="2249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</w:p>
      </w:tc>
      <w:tc>
        <w:tcPr>
          <w:tcW w:w="27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  <w:r>
            <w:t>Revizyon No:</w:t>
          </w:r>
        </w:p>
      </w:tc>
      <w:tc>
        <w:tcPr>
          <w:tcW w:w="224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  <w:r>
            <w:t>000</w:t>
          </w:r>
        </w:p>
      </w:tc>
    </w:tr>
    <w:tr w:rsidR="008A4342" w:rsidTr="00116DC2">
      <w:trPr>
        <w:trHeight w:val="627"/>
      </w:trPr>
      <w:tc>
        <w:tcPr>
          <w:tcW w:w="2249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</w:p>
      </w:tc>
      <w:tc>
        <w:tcPr>
          <w:tcW w:w="27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  <w:r>
            <w:t>Revizyon Tarihi</w:t>
          </w:r>
        </w:p>
      </w:tc>
      <w:tc>
        <w:tcPr>
          <w:tcW w:w="224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  <w:r>
            <w:t>-</w:t>
          </w:r>
        </w:p>
      </w:tc>
    </w:tr>
    <w:tr w:rsidR="008A4342" w:rsidTr="00116DC2">
      <w:trPr>
        <w:trHeight w:val="440"/>
      </w:trPr>
      <w:tc>
        <w:tcPr>
          <w:tcW w:w="2249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</w:p>
      </w:tc>
      <w:tc>
        <w:tcPr>
          <w:tcW w:w="27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  <w:r>
            <w:t>Yayım Tarihi</w:t>
          </w:r>
        </w:p>
      </w:tc>
      <w:tc>
        <w:tcPr>
          <w:tcW w:w="224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A4342" w:rsidRDefault="008A4342" w:rsidP="00116DC2">
          <w:pPr>
            <w:widowControl w:val="0"/>
            <w:spacing w:line="240" w:lineRule="auto"/>
            <w:jc w:val="center"/>
          </w:pPr>
          <w:r>
            <w:t>03.12.2020</w:t>
          </w:r>
        </w:p>
      </w:tc>
    </w:tr>
  </w:tbl>
  <w:p w:rsidR="008A4342" w:rsidRDefault="008A43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4F41"/>
    <w:multiLevelType w:val="multilevel"/>
    <w:tmpl w:val="6448A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3E71E99"/>
    <w:multiLevelType w:val="multilevel"/>
    <w:tmpl w:val="31087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2B1D7B"/>
    <w:multiLevelType w:val="multilevel"/>
    <w:tmpl w:val="4B627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B03689D"/>
    <w:multiLevelType w:val="multilevel"/>
    <w:tmpl w:val="5A109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4D59"/>
    <w:rsid w:val="00174D59"/>
    <w:rsid w:val="00404E0A"/>
    <w:rsid w:val="00415E69"/>
    <w:rsid w:val="008A4342"/>
    <w:rsid w:val="008B4233"/>
    <w:rsid w:val="00C6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4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34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342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342"/>
  </w:style>
  <w:style w:type="paragraph" w:styleId="Altbilgi">
    <w:name w:val="footer"/>
    <w:basedOn w:val="Normal"/>
    <w:link w:val="AltbilgiChar"/>
    <w:uiPriority w:val="99"/>
    <w:unhideWhenUsed/>
    <w:rsid w:val="008A4342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4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34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342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342"/>
  </w:style>
  <w:style w:type="paragraph" w:styleId="Altbilgi">
    <w:name w:val="footer"/>
    <w:basedOn w:val="Normal"/>
    <w:link w:val="AltbilgiChar"/>
    <w:uiPriority w:val="99"/>
    <w:unhideWhenUsed/>
    <w:rsid w:val="008A4342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A63-3F3D-4B32-B332-C3341502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666</Words>
  <Characters>3798</Characters>
  <Application>Microsoft Office Word</Application>
  <DocSecurity>0</DocSecurity>
  <Lines>31</Lines>
  <Paragraphs>8</Paragraphs>
  <ScaleCrop>false</ScaleCrop>
  <Company>Hewlett-Packard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abdullah yılmaz</cp:lastModifiedBy>
  <cp:revision>6</cp:revision>
  <dcterms:created xsi:type="dcterms:W3CDTF">2021-01-07T14:44:00Z</dcterms:created>
  <dcterms:modified xsi:type="dcterms:W3CDTF">2021-01-07T14:53:00Z</dcterms:modified>
</cp:coreProperties>
</file>